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V 339</w:t>
      </w:r>
    </w:p>
    <w:p>
      <w:r>
        <w:t>Bundesgericht (BGE), 2009-09-07, FR</w:t>
      </w:r>
    </w:p>
    <w:p>
      <w:r>
        <w:rPr>
          <w:b/>
        </w:rPr>
        <w:t xml:space="preserve">Quelle: </w:t>
      </w:r>
      <w:r>
        <w:t>https://mcp.opencaselaw.ch/entscheid/bge_135 V 339</w:t>
      </w:r>
    </w:p>
    <w:p>
      <w:r>
        <w:t>FR: ATF 135 V 339</w:t>
      </w:r>
    </w:p>
    <w:p>
      <w:r>
        <w:t>IT: DTF 135 V 339</w:t>
      </w:r>
    </w:p>
    <w:p>
      <w:pPr>
        <w:pStyle w:val="Heading2"/>
      </w:pPr>
      <w:r>
        <w:t>Regeste</w:t>
      </w:r>
    </w:p>
    <w:p>
      <w:r>
        <w:t>Regeste Art. 8 und 15 des Freizügigkeitsabkommens (FZA); Art. 1 Abs. 1 Anhang II FZA; Art. 13 Abs. 1, Art. 19 Abs. 1 Bst. a, Art. 20, Art. 22 Abs. 1 Bst. a und Art. 89 der Verordnung (EWG) Nr. 1408/71; Art. 114 der Verordnung (EWG) Nr. 574/72. Eine in Frankreich wohnende und in der Schweiz arbeitende Person, welche von ihrem Wahlrecht Gebrauch gemacht und sich einem privaten Krankenversicherer ihres Wohnsitzstaates angeschlossen hat, kann, wenn sie sich eine Gesundheitsschädigung zugezogen hat, welche weder Folge eines Unfalles noch einer einem Unfall gleichgestellten Körperschädigung ist, keinen Anspruch, auch nicht vorläufiger Art, auf Vergütung von Heilungskosten durch die SUVA (oder eine andere zuständige Institution in der Schweiz) geltend machen (E. 4-4.4.3). Die Ausnahme von der Unterstellung unter eine schweizerische Krankenversicherung bei gleichwertiger Deckung durch einen privaten Versicherer kann zu Versicherungslücken führen, welche nicht vom Gericht zu schliessen sind (E. 5.1-5.6).</w:t>
      </w:r>
    </w:p>
    <w:p>
      <w:pPr>
        <w:pStyle w:val="Heading2"/>
      </w:pPr>
      <w:r>
        <w:t>Erwägungen</w:t>
      </w:r>
    </w:p>
    <w:p>
      <w:r>
        <w:rPr>
          <w:b/>
        </w:rPr>
        <w:t>E. 3</w:t>
      </w:r>
    </w:p>
    <w:p>
      <w:r>
        <w:t>A l'instar de la CNA, les premiers juges ont retenu que l'atteinte à la santé apparue le 27 octobre 2005 n'était pas consécutive à un accident. Cette atteinte ne pouvait pas non plus être considérée comme une lésion corporelle assimilée à un accident. Ces deux points ne sont plus contestés devant le Tribunal fédéral. Le droit aux prestations litigieuses ne peut donc pas être déduit de la LAA ( art. 6 al. 1 et al. 2 LAA [RS 832.20] en corrélation avec l' art. 9 al. 2 OLAA [RS 832.202]).</w:t>
      </w:r>
    </w:p>
    <w:p>
      <w:r>
        <w:rPr>
          <w:b/>
        </w:rPr>
        <w:t>E. 4</w:t>
      </w:r>
    </w:p>
    <w:p>
      <w:r>
        <w:t>Le recourant fonde sa prétention, principalement, sur les règles de coordination de l'Accord sur la libre circulation des personnes et sur les règlements communautaires en matière de sécurité sociale. C'est donc sous cet angle qu'il convient, en premier lieu, d'examiner le litige.</w:t>
      </w:r>
    </w:p>
    <w:p>
      <w:r>
        <w:rPr>
          <w:b/>
        </w:rPr>
        <w:t>E. 4.1</w:t>
      </w:r>
    </w:p>
    <w:p>
      <w:r>
        <w:t>L'Accord sur la libre circulation des personnes (ALCP; RS 0.142.112.681) est entré en vigueur le 1 er juin 2002. Selon l'art. 1 par. 1 annexe II "Coordination des systèmes de sécurité sociale" de l'accord, fondée sur l' art. 8 ALCP et faisant partie intégrante de celui-ci ( art. 15 ALCP ), en relation avec la section A de cette annexe, les Parties contractantes appliquent entre elles, en particulier, le Règlement (CEE) n° 1408/71 du Conseil du 14 juin 1971 relatif à l'application des régimes de sécurité sociale aux travailleurs salariés, aux travailleurs non salariés et aux membres de leur famille qui se déplacent à l'intérieur de la Communauté (Règlement n° 1408/71; BGE 135 V 339 S. 343 RS 0.831.109.268.1), ainsi que le Règlement (CEE) n° 574/72 du Conseil du 21 mars 1972 fixant les modalités d'application du Règlement (CEE) n° 1408/71 relatif à l'application des régimes de sécurité sociale aux travailleurs salariés, aux travailleurs non salariés et aux membres de leur famille qui se déplacent à l'intérieur de la Communauté (Règlement n° 574/72; RS 0.831.109.268.11) ou des règles équivalentes.</w:t>
      </w:r>
    </w:p>
    <w:p>
      <w:r>
        <w:rPr>
          <w:b/>
        </w:rPr>
        <w:t>E. 4.2</w:t>
      </w:r>
    </w:p>
    <w:p>
      <w:r>
        <w:t>Cette réglementation est applicable au recourant du point de vue personnel: de nationalité française, l'intéressé doit être considéré comme un travailleur qui est ou était soumis à la législation d'un ou de plusieurs Etats membres (art. 2 par. 1 du Règlement 1408/71). Il en va de même de l'applicabilité de l'accord et des règlements cités sous l'angle matériel. Les prestations litigieuses se rapportent à l'un des risques énumérés expressément à l'art. 4 par. 1 du Règlement 1408/71, en l'occurrence la lettre a (prestations de maladie et de maternité).</w:t>
      </w:r>
    </w:p>
    <w:p>
      <w:r>
        <w:rPr>
          <w:b/>
        </w:rPr>
        <w:t>E. 4.3</w:t>
      </w:r>
    </w:p>
    <w:p>
      <w:r>
        <w:t>S'agissant d'une relation transfrontalière, il faut tout d'abord examiner la question du droit applicable en matière d'assurance-maladie.</w:t>
      </w:r>
    </w:p>
    <w:p>
      <w:r>
        <w:rPr>
          <w:b/>
        </w:rPr>
        <w:t>E. 4.3.1</w:t>
      </w:r>
    </w:p>
    <w:p>
      <w:r>
        <w:t>Le Titre II du Règlement 1408/71 (art. 13-17 bis ) contient des règles qui permettent de déterminer la législation applicable pour toute la généralité des cas. L'art. 13 par. 1 énonce le principe de l'unicité de la législation applicable en fonction des règles contenues aux art. 13 "par. 2" à 17 bis , dans le sens de l'applicabilité de la législation d'un seul Etat membre. En principe, le travailleur salarié est soumis à la législation de son Etat d'occupation salariée, même s'il réside sur le territoire d'un autre Etat membre ou si l'entreprise ou l'employeur qui l'occupe a son siège ou son domicile sur le territoire d'un autre Etat membre. Le travailleur frontalier est donc soumis, en vertu de ce principe, à la législation de l'Etat où il travaille (principe de la lex loci laboris ); l'Etat compétent est l'Etat d'emploi (art. 13 par. 2 let. a du Règlement 1408/71; ATF 133 V 137 consid. 6.1 p. 143; PRODROMOS MAVRIDIS, La sécurité sociale à l'épreuve de l'intégration européenne: étude d'une confrontation entre libertés du marché et droits fondamentaux, Athènes et Bruxelles 2003, p. 488 n° 473).</w:t>
      </w:r>
    </w:p>
    <w:p>
      <w:r>
        <w:rPr>
          <w:b/>
        </w:rPr>
        <w:t>E. 4.3.2</w:t>
      </w:r>
    </w:p>
    <w:p>
      <w:r>
        <w:t>Ce principe peut être assorti d'exceptions . En effet, en application de l'art. 89 du Règlement 1408/71, l'annexe VI audit BGE 135 V 339 S. 344 règlement régit les modalités particulières d'application des législations de certains Etats membres. Cette annexe a été complétée par la section A annexe II ALCP "Coordination des systèmes de sécurité sociale". Il en ressort notamment que les personnes soumises aux dispositions légales suisses peuvent, sur demande, être exemptées de l'assurance-maladie obligatoire (LAMal) en tant qu'elles résident dans l'un des Etats suivants et peuvent prouver qu'elles y bénéficient d'une couverture en cas de maladie: Allemagne, Autriche, France, Italie et, dans certains cas, la Finlande et le Portugal (section A par. 1 let. o point 3 b annexe II ALCP, dans sa version modifiée par les décisions n° 2/2003 et 1/2006 du Comité mixte UE-Suisse des 15 juillet 2003 et 6 juillet 2006 [RO 2004 1277 et 2006 5851]). Cette faculté est communément appelée "droit d'option" (cf. aussi KAHIL-WOLFF/PACIFICO, Sécurité sociale, droit du travail et fiscalité: le droit applicable en cas de situations transfrontalières, in: Assujettissement, cotisations et questions connexes selon l'Accord sur la libre circulation des personnes CH-CE, 2004, p. 37 s.).</w:t>
      </w:r>
    </w:p>
    <w:p>
      <w:r>
        <w:rPr>
          <w:b/>
        </w:rPr>
        <w:t>E. 4.3.3</w:t>
      </w:r>
    </w:p>
    <w:p>
      <w:r>
        <w:t>Cette réglementation sur le droit d'option n'exige pas une couverture équivalente auprès d'un organisme d'assurance de droit public ; il peut également s'agir d'une assurance conclue auprès d'un assureur privé. Il est à relever dans ce contexte que jusqu'au 1 er juin 2002 les relations entre la Suisse et la France en matière de sécurité sociale étaient régies par la Convention de sécurité sociale du 3 juillet 1975 entre la Confédération suisse et la République française (RS 0.831. 109.349.1). Les travailleurs frontaliers n'avaient alors pas l'obligation de s'affilier à la LAMal, faute de domicile en Suisse ( art. 3 LAMal ), mais ils en avaient la faculté ( art. 3 OAMal ; RS 832.102). Lors des négociations de l'ALCP, les autorités françaises n'ont pas souhaité l'introduction d'un droit d'option, car cela revenait à remettre en cause le principe de l'unicité de la législation applicable. Elles sont revenues sur cette position de principe après avoir été saisies par le Groupement transfrontalier européen - dont la vocation est de veiller à l'intérêt des populations transfrontalières - d'un rapport insistant sur l'importance du droit d'option pour les travailleurs frontaliers. Sur la base des conclusions d'une expertise indépendante, le gouvernement français s'est engagé dans un premier temps à accepter un droit d'option, mais en faveur seulement des régimes nationaux (LAMal ou couverture maladie universelle BGE 135 V 339 S. 345 [CMU] selon la loi française du 27 juillet 1999). Comme une majorité de travailleurs frontaliers se trouvait alors au bénéfice d'un contrat d'assurance privé, le gouvernement a finalement admis que le choix pouvait aussi se porter sur des opérateurs privés en cas d'option pour la couverture d'assurance en France (voir à ce sujet: GUYLAINE RIONDEL BESSON, La sécurité sociale des travailleurs frontaliers dans le cadre de l'Accord sur la libre circulation des personnes, signé entre la Suisse et la Communauté européenne: l'exemple de l'assurance-maladie maternité, Cahiers genevois et romands de sécurité sociale [CGSS] 30/2003 p. 25 s.). La législation française a été modifiée en conséquence par l'adjonction dans le code de la sécurité sociale d'un article L. 380-3-1. Cet article pose le principe de l'affiliation obligatoire au régime de base de la sécurité sociale (CMU) des travailleurs frontaliers qui ont demandé à être exemptés de l'affiliation au régime suisse d'assurance-maladie. Il prévoit cependant, pour une période transitoire, se terminant au plus tard le 1 er juin 2014 (selon l'actuelle version de cette disposition), que les intéressés peuvent conserver un contrat d'assurance privé, les couvrant en France, ainsi que leurs ayants droit, pour le risque de maladie et de maternité (voir RIONDEL BESSON, loc. cit., p. 30 s.; de la même auteure , Le droit d'option en matière d'assurance-maladie dans le cadre de l'Accord sur la libre circulation des personnes: difficultés de mise en oeuvre et conséquences pour les assurés, CGSS 42/2009 p. 33 ss).</w:t>
      </w:r>
    </w:p>
    <w:p>
      <w:r>
        <w:rPr>
          <w:b/>
        </w:rPr>
        <w:t>E. 4.3.4</w:t>
      </w:r>
    </w:p>
    <w:p>
      <w:r>
        <w:t>En fonction de ce droit d'option, les personnes qui résident en France et qui travaillent en Suisse peuvent ainsi être couvertes soit en Suisse soit en France. Elles ont le choix entre le régime d'assurance-maladie suisse selon la LAMal, le régime de la CMU et (pour une période transitoire) l'assurance privée en France. C'est donc en application de la réglementation précitée que le recourant - travaillant en Suisse et résidant en France - a demandé et obtenu l'exemption de l'assurance-maladie obligatoire en Suisse selon la LAMal au profit d'une couverture d'assurance privée.</w:t>
      </w:r>
    </w:p>
    <w:p>
      <w:r>
        <w:rPr>
          <w:b/>
        </w:rPr>
        <w:t>E. 4.4</w:t>
      </w:r>
    </w:p>
    <w:p>
      <w:r>
        <w:t>La question est maintenant de savoir si le recourant peut déduire un droit au remboursement, même provisoire, par la CNA (ou par une autre institution compétente suisse) des frais de traitement litigieux en se fondant sur les règles générales de coordination européenne en matière d'assurance-maladie. BGE 135 V 339 S. 346</w:t>
      </w:r>
    </w:p>
    <w:p>
      <w:r>
        <w:rPr>
          <w:b/>
        </w:rPr>
        <w:t>E. 4.4.1</w:t>
      </w:r>
    </w:p>
    <w:p>
      <w:r>
        <w:t>La personne qui - à l'instar du recourant - travaille en Suisse et a opté pour la législation de l'Etat de résidence en ce qui concerne l'assurance-maladie reste assurée aux autres assurances sociales suisses, notamment à la LAA ( art. 1a LAA ). Il est largement admis que les art. 18-36 du Règlement 1408/71 (chap. 1), qui concernent les éventualités maladie et maternité, englobent les prestations pour soins accordées pour les accidents non professionnels (BETTINA KAHIL-WOLFF, La coordination européenne des systèmes nationaux de sécurité sociale, in Soziale Sicherheit, SBVR vol. XIV, 2 e éd. 2007, p. 200 n. 74 [ci-après: SBVR]; GEBHARD EUGSTER, Krankenversicherung, in SBVR, p. 565 s. n. 494; FRÉSARD/MOSER-SZELESS, L'assurance-accidents obligatoire, in SBVR, p. 927 n. 282 et 283; SERAINA ROHNER, L'Accord et l'assurance-accidents selon la LAA: Accord sur la libre circulation des personnes, Sécurité sociale 2/2002 p. 85 s.; EDGAR IMHOF, Eine Anleitung zum Gebrauch des Personenfreizügigkeitsabkommens und der VO 1408/71: insbesondere eine Darstellung der besonderen Vorschriften der VO 1408/71 über die einzelnen Leistungszweige, in Aktuelles im Sozialversicherungsrecht, 2001, p. 75; contra: PATRICIA USINGER-EGGER, Die Unfallversicherung und ihre Auslandwirkung, RSAS 2008 p. 253 ss, qui considère que les prestations de la LAA pour les accidents non professionnels sont dans l'ensemble soumises au chap. 4 du Règlement 1408/71, relatif aux accidents du travail et aux maladies professionnelles). Par conséquent, si la personne en question est victime d'un accident non professionnel, elle pourrait prétendre des prestations en nature de l'assurance-accidents suisse (au titre de la LAA) et de l'organisme compétent dans son Etat de résidence (au titre de l'assurance-maladie). Dans cette éventualité, les coûts des prestations en nature sont répartis pour moitié entre l'assureur suisse LAA et l'institution de l'assurance-maladie de l'autre Etat (section A par. 1 let. o point 3 bis annexe II ALCP; voir aussi KAHIL-WOLFF, SBVR, p. 206 n. 84). Cette éventualité n'entre pas en considération en l'espèce. Elle suppose un droit à des prestations des deux organismes. Or, le recourant - cela est incontesté - n'a pas droit à des prestations de la CNA en application de la LAA (supra consid. 3).</w:t>
      </w:r>
    </w:p>
    <w:p>
      <w:r>
        <w:rPr>
          <w:b/>
        </w:rPr>
        <w:t>E. 4.4.2</w:t>
      </w:r>
    </w:p>
    <w:p>
      <w:r>
        <w:t>Le chapitre I ("Maladie et maternité") du Titre III ("Dispositions particulières aux différentes catégories de prestations") du BGE 135 V 339 S. 347 Règlement 1408/71 contient des règles d'entraide visant à faciliter l'accès aux soins et aux prestations en espèces lors du séjour ou de la résidence en dehors de l'Etat compétent (soit l'Etat dans lequel l'intéressé est assuré). En ce qui concerne plus précisément les prestations en nature, qui sont en discussion ici, ces règles prévoient une répartition des tâches entre l'institution de l'Etat de résidence ou de l'Etat de séjour et l'Etat compétent selon les principales modalités suivantes: a) En cas de résidence sur le territoire d'un Etat membre autre que l'Etat compétent, le travailleur (salarié ou non salarié) a droit à des prestations en nature servies - pour le compte de l'institution compétente - par l'institution du lieu de résidence, selon les dispositions de la législation que celle-ci applique (art. 19 par. 1 let. a du Règlement 1408/71). Les travailleurs frontaliers peuvent également obtenir les prestations sur le territoire de l'Etat compétent; ces prestations sont servies par l'institution compétente selon les dispositions de la législation de cet Etat, comme si l'intéressé résidait dans celui-ci (art. 20 du Règlement 1408/71). b) En cas de séjour en dehors de l'Etat compétent, l'intéressé qui satisfait aux conditions requises par la législation de l'Etat compétent et dont l'état vient à nécessiter des prestations en nature nécessaires du point de vue médical a droit aux prestations en nature servies - pour le compte de l'institution compétente - par l'institution du lieu de séjour (art. 22 par. 1 let. a, dans sa version modifiée par le Règlement n° 631/2004, et applicable dans les relations entre la Suisse et l'Union européenne en vertu de la décision précitée n° 1/2006 du Comité mixte UE-Suisse). Cette disposition est aussi applicable aux personnes qui travaillent mais ne résident pas en Suisse et qui sont affiliées à l'assurance-maladie légale de leur Etat de résidence, pour tout état venant à nécessiter des prestations lors d'un séjour en Suisse (section A par. 1 let. o point 3 ter annexe II ALCP introduit par la décision n° 2/2003 du Comité mixte). Il s'agit d'un accès facilité aux soins pour les personnes qui ont fait le choix de s'assurer au régime (légal) de la CMU (RIONDEL BESSON, L'évolution de la prise en charge des soins de santé à l'étranger dans le cadre des relations communautaires, CGSS 32/2004 p. 122 s.). Sous réserve de cette dernière éventualité (état venant à nécessiter des prestations lors d'un séjour en Suisse), qui n'entre pas en BGE 135 V 339 S. 348 considération ici (l'opération en Suisse était programmée et, de surcroît, l'intéressé n'était pas affilié à la CMU), le système d'entraide tel que décrit plus haut est inopérant en l'espèce. Il ne se conçoit en effet que dans le régime ordinaire d'affiliation à la lex loci laboris (cf. KESSLER/LHERNOULD, Code annoté européen de la protection sociale, 3 e éd., Paris 2005, p. 155). De même, selon l'art. 20 précité du règlement, les travailleurs frontaliers assujettis à la LAMal (Etat d'occupation) peuvent aussi obtenir des prestations sur le territoire de l'Etat compétent (en l'occurrence la Suisse). Mais cette disposition est sans pertinence lorsque le travailleur frontalier a opté pour l'assurance de son Etat de résidence. Dans ce cas, en effet, l'Etat compétent et l'Etat de résidence coïncident et il n'y a donc pas matière à coordination des prestations d'assurance-maladie (cf. également EUGSTER, SBVR, p. 423 n. 74). La coordination se limite ici à l'accès facilité aux soins selon la décision susmentionnée n° 2/2003.</w:t>
      </w:r>
    </w:p>
    <w:p>
      <w:r>
        <w:rPr>
          <w:b/>
        </w:rPr>
        <w:t>E. 4.4.3</w:t>
      </w:r>
    </w:p>
    <w:p>
      <w:r>
        <w:t>En conséquence, les règles de coordination européenne telles que décrites n'imposent pas, en l'espèce, une prise en charge des frais de traitement litigieux par une institution suisse d'assurance. Le recourant, du reste, ne prétend pas le contraire.</w:t>
      </w:r>
    </w:p>
    <w:p>
      <w:r>
        <w:rPr>
          <w:b/>
        </w:rPr>
        <w:t>E. 5.1</w:t>
      </w:r>
    </w:p>
    <w:p>
      <w:r>
        <w:t>Le recourant fait cependant valoir qu'il pâtit d'un conflit négatif de compétences, quand bien même il a régulièrement payé des cotisations visant à l'assurer contre les conséquences de la maladie et de l'accident, en Suisse comme en France. Le droit d'option instauré par l'ALCP conduit à une lacune en ce qui concerne l'entraide. Le but du règlement, qui est de garantir une prise en charge, au moins provisoire, au profit des travailleurs migrants est totalement manqué si l'assureur LAA et l'assureur-maladie refusent tous les deux, de manière non concertée, de prendre en charge un traitement. Selon lui, il convient d'interpréter les Règlements 1408/71 et 574/72 sous un angle téléologique soit au regard du but de l'ALCP. Sous cet angle il eût appartenu à la CNA, qui est l'organisme de liaison pour l'assurance-accidents, de prendre en charge le traitement litigieux et d'entreprendre au besoin les démarches nécessaires en vue de se faire rembourser par l'assureur privé.</w:t>
      </w:r>
    </w:p>
    <w:p>
      <w:r>
        <w:rPr>
          <w:b/>
        </w:rPr>
        <w:t>E. 5.2</w:t>
      </w:r>
    </w:p>
    <w:p>
      <w:r>
        <w:t>On relèvera tout d'abord ici que la CNA n'est un organisme de liaison que pour les accidents du travail et les maladies BGE 135 V 339 S. 349 professionnelles. Pour les accidents non professionnels (qui relèvent de la maladie; supra consid. 4.4.1), l'organe de liaison est l'Institution commune LAMal (section A par. 2 let. c point 4 et let. d point 1 annexe II ALCP). Il n'y a cependant pas lieu d'examiner plus avant si le recourant aurait dû en réalité s'adresser à cette institution. Son argumentation tirée d'une lacune dans le système d'entraide européen est, comme on va le voir, de toute façon mal fondée.</w:t>
      </w:r>
    </w:p>
    <w:p>
      <w:r>
        <w:rPr>
          <w:b/>
        </w:rPr>
        <w:t>E. 5.3</w:t>
      </w:r>
    </w:p>
    <w:p>
      <w:r>
        <w:t>Un mécanisme de coopération judiciaire sous la forme notamment d'un renvoi préjudiciel à la Cour de justice des communautés européennes n'existe pas entre la Suisse et la Communauté européenne et ses Etats membres. Confronté à un problème d'interprétation, le juge suisse n'a donc ni l'obligation ni même la possibilité de se référer à la Cour de justice mais doit le résoudre seul, en se conformant aux règles d'interprétation habituelles déduites de la Convention de Vienne du 23 mai 1969 sur le droit des traités (RS 0.111; ATF 130 II 113 consid. 6.1 p. 120 s.). Pour ce qui est de l'interprétation des accords internationaux, la Convention de Vienne pose des principes directeurs, qui sont relativement semblables aux méthodes d'interprétation valant pour les normes générales et abstraites que la jurisprudence fédérale a consacrées ( ATF 130 I 312 consid. 4.1 in fine p. 326; ATF 130 II 113 consid. 6.1 in fine p. 121). Ainsi, l'art. 31 par. 1 de cette convention prescrit que le traité doit être interprété de bonne foi suivant le sens ordinaire à attribuer aux termes du traité dans leur contexte et à la lumière de son objet et de son but. Quant à l'art. 32 par. 1 in initio, il précise qu'il peut être fait appel à des moyens complémentaires d'interprétation, notamment aux travaux préparatoires, en vue soit de confirmer le sens résultant de l'application de l'art. 31, soit de déterminer le sens lorsque l'interprétation donnée conformément à ces dispositions laisse en particulier le sens ambigu ou obscur (let. a). Il n'appartient toutefois pas au juge de remédier par voie d'interprétation à une éventuelle lacune d'un traité international, en étendant l'application de celui-ci au-delà de son texte. Une telle application extensive n'entrerait en ligne de compte que si l'on pouvait déduire avec certitude du contexte ou de la genèse du traité que l'expression de la volonté des parties à la convention est inexacte (voir ATF 119 V 98 consid. 6a p. 107; ATF 117 V 268 consid. 3b p. 269).</w:t>
      </w:r>
    </w:p>
    <w:p>
      <w:r>
        <w:rPr>
          <w:b/>
        </w:rPr>
        <w:t>E. 5.4</w:t>
      </w:r>
    </w:p>
    <w:p>
      <w:r>
        <w:t>Tel n'est pas le cas en l'espèce. Comme on l'a vu, l'exercice du droit d'option exclut, par principe, une coordination des prestations BGE 135 V 339 S. 350 de l'assurance-maladie par le biais de l'entraide instituée par les art. 19 ss du Règlement 1408/71 (sous réserve d'un état venant à nécessiter des prestations lors d'un séjour en Suisse). Cette absence de coordination est le corollaire de l'exemption de l'assurance obligatoire en Suisse. Par ailleurs, les parties contractantes admettent une exemption de l'assujettissement à l'assurance-maladie suisse en cas de couverture équivalente non seulement auprès d'un organisme de droit public, mais également auprès d'un assureur privé. Cette dernière faculté comporte, il est vrai, certains risques pour l'intéressé, en ce sens qu'elle peut conduire à des lacunes d'assurance. Ainsi, les contrats d'assurance privés peuvent être résiliés en cas de retard dans le paiement des primes ou encore en cas de réticence. Le contrat d'assurance peut aussi prévoir des clauses d'exclusion qui ne sont généralement pas admissibles dans un régime de couverture d'assurance régi par le droit public (EUGSTER, SBVR, p. 423 n. 74). La présente cause est une illustration de ce risque. Selon une lettre de Y. à l'assuré du 31 août 2006, le refus par l'assurance privée de prendre en charge les frais d'hospitalisation à l'Hôpital X. est motivé par le fait que la prise en charge d'un traitement chirurgical est soumise à "entente préalable", que la prise en charge en Suisse est "hors contrat" et que la hernie discale est considérée par les experts français comme un accident dans les "trois premiers mois". Pour autant, ce n'est pas à l'institution de l'Etat dont la personne, précisément, est exemptée de l'assurance obligatoire, d'assumer les conséquences de ce risque. Cela reviendrait, dans les faits, à créer à la charge de cet Etat une assurance subsidiaire destinée à combler des lacunes de couverture ou à compléter une couverture d'assurance insuffisante ou encore à prendre en charge des prestations pour des affections faisant l'objet d'une réserve. Cette subsidiarité ne relève pas de la coordination des prestations selon le droit communautaire tel qu'il est aménagé dans les relations franco-suisses. Le fait que la CNA a alloué dans un premier temps des prestations avant de les refuser en raison de l'absence d'un événement accidentel ou d'un événement assimilé ne génère pas, à lui seul, une obligation découlant de la réglementation internationale de continuer à verser (même à titre provisoire) des prestations.</w:t>
      </w:r>
    </w:p>
    <w:p>
      <w:r>
        <w:rPr>
          <w:b/>
        </w:rPr>
        <w:t>E. 5.5</w:t>
      </w:r>
    </w:p>
    <w:p>
      <w:r>
        <w:t>On notera enfin que l'art. 114 du Règlement 574/72 règle le versement provisoire de prestations en cas de contestation de la législation applicable ou de l'institution appelée à servir les BGE 135 V 339 S. 351 prestations. Dans ce cas, l'intéressé bénéficie à titre provisoire des prestations prévues par la législation qu'applique l'institution du lieu de résidence. Dès lors, même en admettant que le cas présent requiert une coordination sous l'angle du droit communautaire, une prise en charge préalable incomberait, en application de cette disposition, à l'institution française et non à la première institution à laquelle l'intéressé s'est adressé.</w:t>
      </w:r>
    </w:p>
    <w:p>
      <w:r>
        <w:rPr>
          <w:b/>
        </w:rPr>
        <w:t>E. 5.6</w:t>
      </w:r>
    </w:p>
    <w:p>
      <w:r>
        <w:t>En conclusion, il n'y a pas de lacune qu'il incomberait au juge de combler. L'argumentation du recourant est sur ce point mal fondée.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